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74C7E">
      <w:r>
        <w:rPr>
          <w:rFonts w:hint="eastAsia"/>
        </w:rPr>
        <w:t>遗传病基因检测全外显子</w:t>
      </w:r>
    </w:p>
    <w:p w14:paraId="762CD6D9">
      <w:r>
        <w:rPr>
          <w:rFonts w:hint="eastAsia"/>
        </w:rPr>
        <w:t>1. 分析范围：利用二代测序方案进行全外显子测序，可分析CAP-SNV,SNV/Indel，全外探针共计覆盖52Mb区域；覆盖HGMD、ClinVar等数据库中已报道的位于非编码区的P/LP/高评分VUS变异位点</w:t>
      </w:r>
    </w:p>
    <w:p w14:paraId="2E90BF92">
      <w:r>
        <w:rPr>
          <w:rFonts w:hint="eastAsia"/>
        </w:rPr>
        <w:t>2. 生信分析：除常规位点突变外，基于特殊探针设计和自研生信算法，具备对SMN1基因（NM_022874.2）外显子7的拷贝数变异；3种缺失型α-地中海贫血：-α3.7、-α4.2、-- SEA；SLC25A13基因IVS16ins3kb和IVS4ins6kb两种转座子插入分析报告能力。</w:t>
      </w:r>
    </w:p>
    <w:p w14:paraId="1FF41837">
      <w:r>
        <w:rPr>
          <w:rFonts w:hint="eastAsia"/>
        </w:rPr>
        <w:t>分析系统</w:t>
      </w:r>
    </w:p>
    <w:p w14:paraId="71A9B389">
      <w:r>
        <w:rPr>
          <w:rFonts w:hint="eastAsia"/>
        </w:rPr>
        <w:t>1. 智能致病性评估</w:t>
      </w:r>
    </w:p>
    <w:p w14:paraId="031B132E">
      <w:r>
        <w:rPr>
          <w:rFonts w:hint="eastAsia"/>
        </w:rPr>
        <w:t>基于机器学习算法，提供符合ACMG标准的自动化评级与变异致病性智能排序。</w:t>
      </w:r>
    </w:p>
    <w:p w14:paraId="0D68B5BD">
      <w:r>
        <w:rPr>
          <w:rFonts w:hint="eastAsia"/>
        </w:rPr>
        <w:t>2. AI临床解读</w:t>
      </w:r>
    </w:p>
    <w:p w14:paraId="72EBDBB7">
      <w:r>
        <w:rPr>
          <w:rFonts w:hint="eastAsia"/>
        </w:rPr>
        <w:t>基于大模型模型，实现智能化的病例深度解读及HPO特征的自动提取。</w:t>
      </w:r>
    </w:p>
    <w:p w14:paraId="59FA4877">
      <w:r>
        <w:rPr>
          <w:rFonts w:hint="eastAsia"/>
        </w:rPr>
        <w:t>3. 智能匹配算法</w:t>
      </w:r>
    </w:p>
    <w:p w14:paraId="03C81CE2">
      <w:r>
        <w:rPr>
          <w:rFonts w:hint="eastAsia"/>
        </w:rPr>
        <w:t>智能计算精卵供体与受体的匹配分数，并输出多维度、可解释的匹配评级。</w:t>
      </w:r>
    </w:p>
    <w:p w14:paraId="192555FE">
      <w:r>
        <w:rPr>
          <w:rFonts w:hint="eastAsia"/>
        </w:rPr>
        <w:t>4. 供体优选决策支持</w:t>
      </w:r>
    </w:p>
    <w:p w14:paraId="7A69D3E5">
      <w:r>
        <w:rPr>
          <w:rFonts w:hint="eastAsia"/>
        </w:rPr>
        <w:t>基于多因素加权模型，实现精子的智能化优选与排序，辅助筛选遗传学维度下的最佳候选组合。</w:t>
      </w:r>
    </w:p>
    <w:p w14:paraId="7D97CB15"/>
    <w:p w14:paraId="5BCA3ACB"/>
    <w:p w14:paraId="1A15D4F2"/>
    <w:p w14:paraId="1E8B93E3"/>
    <w:p w14:paraId="210BE523"/>
    <w:p w14:paraId="3E25E52E"/>
    <w:p w14:paraId="7D0D9520"/>
    <w:p w14:paraId="3AA36B5B"/>
    <w:p w14:paraId="11A3CBB2"/>
    <w:p w14:paraId="45774E5E"/>
    <w:p w14:paraId="3A681D83"/>
    <w:p w14:paraId="57ACA501"/>
    <w:p w14:paraId="7E8003F9"/>
    <w:p w14:paraId="6C7D336D"/>
    <w:p w14:paraId="03920528"/>
    <w:p w14:paraId="4E9AE6ED"/>
    <w:p w14:paraId="1959646B"/>
    <w:p w14:paraId="014595AD"/>
    <w:p w14:paraId="382FAADA"/>
    <w:p w14:paraId="738DB8CF"/>
    <w:p w14:paraId="5CF5A727"/>
    <w:p w14:paraId="6590381A"/>
    <w:p w14:paraId="1C1B3A27"/>
    <w:p w14:paraId="2080C30B"/>
    <w:p w14:paraId="546E759C"/>
    <w:p w14:paraId="00F099F7"/>
    <w:p w14:paraId="2ADD528B"/>
    <w:p w14:paraId="49C64382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精浆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多种环境污染物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1、检测参数：</w:t>
      </w:r>
    </w:p>
    <w:p w14:paraId="24AF34ED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定量⽅式： 同位素内标法（19种同位素内标）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，随⾏标曲</w:t>
      </w:r>
    </w:p>
    <w:p w14:paraId="2BE59906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内标： 每⼀类均有同位素内标</w:t>
      </w:r>
    </w:p>
    <w:p w14:paraId="5EB9B0C7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质控： 程序空⽩、容器空⽩、QC、内标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2、数据库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超⾼暴露物通量，一针检测能涵盖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≥10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⼤类环境暴露物质共计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≥380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种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；</w:t>
      </w:r>
    </w:p>
    <w:p w14:paraId="7D3F1062">
      <w:pPr>
        <w:keepNext w:val="0"/>
        <w:keepLines w:val="0"/>
        <w:widowControl/>
        <w:suppressLineNumbers w:val="0"/>
        <w:jc w:val="left"/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涵盖抗⽣素、内分泌⼲扰物等国务院2022年发布的《新污染物治理⾏动⽅案》⽂件强调的重点管控的新污染物。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3、项⽬质控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内标保留时间质控：所有进样样品和QC的内标保留时间与预期保留时间偏差均在±12S以内；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QC中内标响应稳定性：QC样品中内标响应的相对标准偏差RSD≤20%；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QC样本相关性：QC样品相关性均⼤于0.8。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4、数据分析内容：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（1）基础数据分析：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原始数据预处理，主成分分析(PCA)，正交偏最小二乘法-判别分析(OPLS-DA)，OPLS-DA得分散点图，OPLS-DA置换检验，单变量统计分析(UVA)和火山图，化合物的Z-score分析，化合物的层次聚类分析，化合物的箱线图分析，化合物的火柴杆图分析，化合物的相关性分析，化合物的ROC分析。</w:t>
      </w:r>
    </w:p>
    <w:p w14:paraId="7251382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（2）个性化数据分析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WQS分析，q g-comp分析，BKMR分析</w:t>
      </w:r>
    </w:p>
    <w:p w14:paraId="4011FE8D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可提供⻉叶斯核回归模型（BKMR）、分位数g计算（QGC）等个性化分析服务</w:t>
      </w:r>
    </w:p>
    <w:p w14:paraId="57D0E269">
      <w:pPr>
        <w:keepNext w:val="0"/>
        <w:keepLines w:val="0"/>
        <w:widowControl/>
        <w:suppressLineNumbers w:val="0"/>
        <w:jc w:val="left"/>
      </w:pPr>
    </w:p>
    <w:p w14:paraId="142AD62A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1364594B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053CAEC9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6F99FDD3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7186FDAE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60861B77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26A9556F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45E5D4BA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17E99601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4C59974C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6D31AEA3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7B73F2F4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596E5B4A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637FF155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42FB538A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24763645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71FA1090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1AEAE734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77F4FD99">
      <w:pPr>
        <w:pStyle w:val="2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084AF6DD">
      <w:pPr>
        <w:pStyle w:val="2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5655E9DC">
      <w:pPr>
        <w:pStyle w:val="2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  <w:bookmarkStart w:id="0" w:name="_GoBack"/>
      <w:bookmarkEnd w:id="0"/>
    </w:p>
    <w:p w14:paraId="73426352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</w:p>
    <w:p w14:paraId="411E627B">
      <w:pPr>
        <w:rPr>
          <w:rFonts w:hint="default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非靶代谢组学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1、检测参数：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高分辨质谱仪</w:t>
      </w:r>
    </w:p>
    <w:p w14:paraId="0EECEB5E">
      <w:pPr>
        <w:rPr>
          <w:rFonts w:hint="default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2、数据库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依托四核专利算法，结合 1W + 标品库、22W + 公共库、4.7W + 理论库，保障代谢物鉴定的准确性。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3、质控体系完善</w:t>
      </w:r>
    </w:p>
    <w:p w14:paraId="64B075FB">
      <w:pPr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（1）具备 7项严格质控标准：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1.QC 样本内标 RSD 在 10% 内；2.空白样本无明确内标检出；3.QC样本内标峰高差在30%内；4.QC样本在二维PCA内聚集；5.QC 样本在PCA1的分布在2倍STD 以内；6.QC 样本 PCA2 的分布在 2 倍 STD 以内；7.批次内相关系数 &gt; 0.85。</w:t>
      </w:r>
    </w:p>
    <w:p w14:paraId="219AE07B">
      <w:pPr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（2）采用 6 个同位素内标，参考 nature method 方法，保障质控数据稳定性。</w:t>
      </w:r>
    </w:p>
    <w:p w14:paraId="73D2AFF2">
      <w:pPr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4、数据可靠专业</w:t>
      </w:r>
    </w:p>
    <w:p w14:paraId="04A44BDB">
      <w:pPr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鉴定等级遵循 MSI 标准，涵盖 level 1-3.1，Level1代谢物鉴定准确度可达 98.5%；提供 raw 原始数据，支持后续深度分析。</w:t>
      </w:r>
    </w:p>
    <w:p w14:paraId="208CC907">
      <w:pP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5、配套服务全面</w:t>
      </w:r>
    </w:p>
    <w:p w14:paraId="1663DAF3">
      <w:pP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（1）包含 20 项基础数据分析：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基础数据分析包括：数据预处理，聚类分析（HCA），代谢物分类统计，单变量统计分析，PCA 分析（principal component analysis），正交偏最小二乘法判别分析（OPLS-DA），差异代谢物筛选和鉴定，差异代谢物层次聚类分析，Box-plot分析，差异代谢物韦恩分析，K-Means聚类分析，差异代谢物的火柴杆图分析，差异代谢物雷达图，差异代谢物的相关性分析，差异代谢物的和弦分析，差异代谢物的KEGG注释，差异代谢物的KEGG富集，差异代谢物的代谢通路分析，差异代谢物的调控网络分析，差异代谢物ROC分析</w:t>
      </w:r>
    </w:p>
    <w:p w14:paraId="09DD4D2B">
      <w:pP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（2）个性化数据分析包括：随机森林分析、LASSO分析等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（3）支持大样本批次效应校正、多组学关联分析、深度学习算法筛选生物标志物等。</w:t>
      </w:r>
    </w:p>
    <w:p w14:paraId="3964787F">
      <w:pP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（4）提供终身售后服务，包含一对一专业技术人工解读报告。</w:t>
      </w:r>
    </w:p>
    <w:p w14:paraId="3CD6889D">
      <w:pP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</w:p>
    <w:p w14:paraId="5BCBE4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2026-06-04T07:07:09Z</dcterms:created>
  <dc:creator>zdsfy</dc:creator>
  <cp:lastModifiedBy>刘军杰</cp:lastModifiedBy>
  <dcterms:modified xsi:type="dcterms:W3CDTF">2026-06-04T07:09:23Z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eyJoZGlkIjoiNTM3ZmJkOGEzNTU5MTBhMTRjMmZhNjIxYWI4ZDQ5Y2QiLCJ1c2VySWQiOiI2OTI1NTUzNzEifQ==</vt:lpwstr>
  </property>
  <property fmtid="{D5CDD505-2E9C-101B-9397-08002B2CF9AE}" pid="4" name="ICV">
    <vt:lpwstr>D5D92AD437544C4DACF29992610E8514_12</vt:lpwstr>
  </property>
</Properties>
</file>